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4D80C" w14:textId="77777777" w:rsidR="00F20539" w:rsidRPr="00EE03A5" w:rsidRDefault="00F20539">
      <w:pPr>
        <w:jc w:val="center"/>
        <w:rPr>
          <w:rFonts w:asciiTheme="majorHAnsi" w:hAnsiTheme="majorHAnsi" w:cstheme="majorHAnsi"/>
        </w:rPr>
      </w:pPr>
    </w:p>
    <w:p w14:paraId="2CB1010E" w14:textId="66196AD4" w:rsidR="00F20539" w:rsidRPr="00EE03A5" w:rsidRDefault="00076251" w:rsidP="00EE03A5">
      <w:pPr>
        <w:jc w:val="center"/>
        <w:rPr>
          <w:rFonts w:asciiTheme="majorHAnsi" w:hAnsiTheme="majorHAnsi" w:cstheme="majorHAnsi"/>
          <w:lang w:val="es-CO"/>
        </w:rPr>
      </w:pPr>
      <w:r w:rsidRPr="00EE03A5">
        <w:rPr>
          <w:rFonts w:asciiTheme="majorHAnsi" w:hAnsiTheme="majorHAnsi" w:cstheme="majorHAnsi"/>
          <w:b/>
          <w:lang w:val="es-CO"/>
        </w:rPr>
        <w:t>Análisis y Manejo de Riesgos en Proyectos</w:t>
      </w:r>
    </w:p>
    <w:p w14:paraId="5A4DCBB8" w14:textId="61CC79DA" w:rsidR="00F20539" w:rsidRPr="00EE03A5" w:rsidRDefault="00281ECF" w:rsidP="00EE03A5">
      <w:pPr>
        <w:pStyle w:val="Ttulo1"/>
        <w:rPr>
          <w:rFonts w:cstheme="majorHAnsi"/>
          <w:sz w:val="22"/>
          <w:szCs w:val="22"/>
          <w:lang w:val="es-CO"/>
        </w:rPr>
      </w:pPr>
      <w:r w:rsidRPr="00EE03A5">
        <w:rPr>
          <w:rFonts w:cstheme="majorHAnsi"/>
          <w:sz w:val="22"/>
          <w:szCs w:val="22"/>
          <w:lang w:val="es-CO"/>
        </w:rPr>
        <w:t>1</w:t>
      </w:r>
      <w:r w:rsidR="00076251" w:rsidRPr="00EE03A5">
        <w:rPr>
          <w:rFonts w:cstheme="majorHAnsi"/>
          <w:sz w:val="22"/>
          <w:szCs w:val="22"/>
          <w:lang w:val="es-CO"/>
        </w:rPr>
        <w:t>. ¿Qué es un riesgo en un proyecto?</w:t>
      </w:r>
    </w:p>
    <w:p w14:paraId="758D38CB" w14:textId="77777777" w:rsidR="00F20539" w:rsidRPr="00EE03A5" w:rsidRDefault="00076251" w:rsidP="00EE03A5">
      <w:pPr>
        <w:rPr>
          <w:rFonts w:asciiTheme="majorHAnsi" w:hAnsiTheme="majorHAnsi" w:cstheme="majorHAnsi"/>
          <w:lang w:val="es-CO"/>
        </w:rPr>
      </w:pPr>
      <w:r w:rsidRPr="00EE03A5">
        <w:rPr>
          <w:rFonts w:asciiTheme="majorHAnsi" w:hAnsiTheme="majorHAnsi" w:cstheme="majorHAnsi"/>
          <w:lang w:val="es-CO"/>
        </w:rPr>
        <w:t>Un riesgo es un evento o condición incierta que, si ocurre, puede afectar positiva o negativamente los objetivos de un proyecto, como el tiempo, el costo, la calidad o el alcance. El análisis de riesgos busca anticipar posibles problemas para reducir su impacto antes de que ocurran (The Business Professor, s. f.).</w:t>
      </w:r>
    </w:p>
    <w:p w14:paraId="45C8B39D" w14:textId="77777777" w:rsidR="00F20539" w:rsidRPr="00EE03A5" w:rsidRDefault="00076251" w:rsidP="00EE03A5">
      <w:pPr>
        <w:pStyle w:val="Ttulo1"/>
        <w:rPr>
          <w:rFonts w:cstheme="majorHAnsi"/>
          <w:sz w:val="22"/>
          <w:szCs w:val="22"/>
          <w:lang w:val="es-CO"/>
        </w:rPr>
      </w:pPr>
      <w:r w:rsidRPr="00EE03A5">
        <w:rPr>
          <w:rFonts w:cstheme="majorHAnsi"/>
          <w:sz w:val="22"/>
          <w:szCs w:val="22"/>
          <w:lang w:val="es-CO"/>
        </w:rPr>
        <w:t>2. Tipos de riesgos en proyectos</w:t>
      </w:r>
    </w:p>
    <w:p w14:paraId="3F9F6F38" w14:textId="77777777" w:rsidR="00F20539" w:rsidRPr="00EE03A5" w:rsidRDefault="00076251" w:rsidP="00EE03A5">
      <w:pPr>
        <w:rPr>
          <w:rFonts w:asciiTheme="majorHAnsi" w:hAnsiTheme="majorHAnsi" w:cstheme="majorHAnsi"/>
          <w:lang w:val="es-CO"/>
        </w:rPr>
      </w:pPr>
      <w:r w:rsidRPr="00EE03A5">
        <w:rPr>
          <w:rFonts w:asciiTheme="majorHAnsi" w:hAnsiTheme="majorHAnsi" w:cstheme="majorHAnsi"/>
          <w:lang w:val="es-CO"/>
        </w:rPr>
        <w:t>En todo proyecto pueden presentarse diferentes tipos de riesgos. A continuación se presentan los más comunes, con ejemplos comprensibles para las comunidades (Asana, s. f.; Atlassian, s. f.; Coursera, 2023):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5"/>
        <w:gridCol w:w="4315"/>
      </w:tblGrid>
      <w:tr w:rsidR="00F20539" w:rsidRPr="00EE03A5" w14:paraId="7E47F6D8" w14:textId="77777777" w:rsidTr="00076251">
        <w:tc>
          <w:tcPr>
            <w:tcW w:w="4320" w:type="dxa"/>
            <w:shd w:val="clear" w:color="auto" w:fill="EAF1DD" w:themeFill="accent3" w:themeFillTint="33"/>
          </w:tcPr>
          <w:p w14:paraId="627A815F" w14:textId="77777777" w:rsidR="00F20539" w:rsidRPr="00076251" w:rsidRDefault="00076251" w:rsidP="0007625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076251">
              <w:rPr>
                <w:rFonts w:asciiTheme="majorHAnsi" w:hAnsiTheme="majorHAnsi" w:cstheme="majorHAnsi"/>
                <w:b/>
                <w:bCs/>
              </w:rPr>
              <w:t>Tipo de riesgo</w:t>
            </w:r>
          </w:p>
        </w:tc>
        <w:tc>
          <w:tcPr>
            <w:tcW w:w="4320" w:type="dxa"/>
            <w:shd w:val="clear" w:color="auto" w:fill="EAF1DD" w:themeFill="accent3" w:themeFillTint="33"/>
          </w:tcPr>
          <w:p w14:paraId="10C20509" w14:textId="77777777" w:rsidR="00F20539" w:rsidRPr="00076251" w:rsidRDefault="00076251" w:rsidP="00076251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</w:rPr>
            </w:pPr>
            <w:r w:rsidRPr="00076251">
              <w:rPr>
                <w:rFonts w:asciiTheme="majorHAnsi" w:hAnsiTheme="majorHAnsi" w:cstheme="majorHAnsi"/>
                <w:b/>
                <w:bCs/>
              </w:rPr>
              <w:t>Ejemplos o descripción</w:t>
            </w:r>
          </w:p>
        </w:tc>
      </w:tr>
      <w:tr w:rsidR="00F20539" w:rsidRPr="004E3029" w14:paraId="7C1E9C20" w14:textId="77777777" w:rsidTr="00EE03A5">
        <w:tc>
          <w:tcPr>
            <w:tcW w:w="4320" w:type="dxa"/>
          </w:tcPr>
          <w:p w14:paraId="29D5AEBC" w14:textId="77777777" w:rsidR="00F20539" w:rsidRPr="00EE03A5" w:rsidRDefault="00076251" w:rsidP="00076251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EE03A5">
              <w:rPr>
                <w:rFonts w:asciiTheme="majorHAnsi" w:hAnsiTheme="majorHAnsi" w:cstheme="majorHAnsi"/>
              </w:rPr>
              <w:t>Financieros</w:t>
            </w:r>
          </w:p>
        </w:tc>
        <w:tc>
          <w:tcPr>
            <w:tcW w:w="4320" w:type="dxa"/>
          </w:tcPr>
          <w:p w14:paraId="059D3C4A" w14:textId="77777777" w:rsidR="00F20539" w:rsidRPr="00EE03A5" w:rsidRDefault="00076251" w:rsidP="00076251">
            <w:pPr>
              <w:spacing w:after="0" w:line="240" w:lineRule="auto"/>
              <w:rPr>
                <w:rFonts w:asciiTheme="majorHAnsi" w:hAnsiTheme="majorHAnsi" w:cstheme="majorHAnsi"/>
                <w:lang w:val="es-CO"/>
              </w:rPr>
            </w:pPr>
            <w:r w:rsidRPr="00EE03A5">
              <w:rPr>
                <w:rFonts w:asciiTheme="majorHAnsi" w:hAnsiTheme="majorHAnsi" w:cstheme="majorHAnsi"/>
                <w:lang w:val="es-CO"/>
              </w:rPr>
              <w:t>Presupuesto insuficiente, costos imprevistos, inflación.</w:t>
            </w:r>
          </w:p>
        </w:tc>
      </w:tr>
      <w:tr w:rsidR="00F20539" w:rsidRPr="004E3029" w14:paraId="64090AE1" w14:textId="77777777" w:rsidTr="00EE03A5">
        <w:tc>
          <w:tcPr>
            <w:tcW w:w="4320" w:type="dxa"/>
          </w:tcPr>
          <w:p w14:paraId="3D586F23" w14:textId="77777777" w:rsidR="00F20539" w:rsidRPr="00EE03A5" w:rsidRDefault="00076251" w:rsidP="00076251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EE03A5">
              <w:rPr>
                <w:rFonts w:asciiTheme="majorHAnsi" w:hAnsiTheme="majorHAnsi" w:cstheme="majorHAnsi"/>
              </w:rPr>
              <w:t>De cronograma o tiempo</w:t>
            </w:r>
          </w:p>
        </w:tc>
        <w:tc>
          <w:tcPr>
            <w:tcW w:w="4320" w:type="dxa"/>
          </w:tcPr>
          <w:p w14:paraId="04AC60C5" w14:textId="77777777" w:rsidR="00F20539" w:rsidRPr="00EE03A5" w:rsidRDefault="00076251" w:rsidP="00076251">
            <w:pPr>
              <w:spacing w:after="0" w:line="240" w:lineRule="auto"/>
              <w:rPr>
                <w:rFonts w:asciiTheme="majorHAnsi" w:hAnsiTheme="majorHAnsi" w:cstheme="majorHAnsi"/>
                <w:lang w:val="es-CO"/>
              </w:rPr>
            </w:pPr>
            <w:r w:rsidRPr="00EE03A5">
              <w:rPr>
                <w:rFonts w:asciiTheme="majorHAnsi" w:hAnsiTheme="majorHAnsi" w:cstheme="majorHAnsi"/>
                <w:lang w:val="es-CO"/>
              </w:rPr>
              <w:t>Retrasos en etapas clave, demoras logísticas o por clima.</w:t>
            </w:r>
          </w:p>
        </w:tc>
      </w:tr>
      <w:tr w:rsidR="00F20539" w:rsidRPr="004E3029" w14:paraId="1EA51A7F" w14:textId="77777777" w:rsidTr="00EE03A5">
        <w:tc>
          <w:tcPr>
            <w:tcW w:w="4320" w:type="dxa"/>
          </w:tcPr>
          <w:p w14:paraId="49F3451C" w14:textId="77777777" w:rsidR="00F20539" w:rsidRPr="00EE03A5" w:rsidRDefault="00076251" w:rsidP="00076251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EE03A5">
              <w:rPr>
                <w:rFonts w:asciiTheme="majorHAnsi" w:hAnsiTheme="majorHAnsi" w:cstheme="majorHAnsi"/>
              </w:rPr>
              <w:t>Técnicos o de desempeño</w:t>
            </w:r>
          </w:p>
        </w:tc>
        <w:tc>
          <w:tcPr>
            <w:tcW w:w="4320" w:type="dxa"/>
          </w:tcPr>
          <w:p w14:paraId="14AF282E" w14:textId="77777777" w:rsidR="00F20539" w:rsidRPr="00EE03A5" w:rsidRDefault="00076251" w:rsidP="00076251">
            <w:pPr>
              <w:spacing w:after="0" w:line="240" w:lineRule="auto"/>
              <w:rPr>
                <w:rFonts w:asciiTheme="majorHAnsi" w:hAnsiTheme="majorHAnsi" w:cstheme="majorHAnsi"/>
                <w:lang w:val="es-CO"/>
              </w:rPr>
            </w:pPr>
            <w:r w:rsidRPr="00EE03A5">
              <w:rPr>
                <w:rFonts w:asciiTheme="majorHAnsi" w:hAnsiTheme="majorHAnsi" w:cstheme="majorHAnsi"/>
                <w:lang w:val="es-CO"/>
              </w:rPr>
              <w:t>Fallas en tecnología, falta de experiencia técnica.</w:t>
            </w:r>
          </w:p>
        </w:tc>
      </w:tr>
      <w:tr w:rsidR="00F20539" w:rsidRPr="004E3029" w14:paraId="3D748D21" w14:textId="77777777" w:rsidTr="00EE03A5">
        <w:tc>
          <w:tcPr>
            <w:tcW w:w="4320" w:type="dxa"/>
          </w:tcPr>
          <w:p w14:paraId="3EF62CF0" w14:textId="77777777" w:rsidR="00F20539" w:rsidRPr="00EE03A5" w:rsidRDefault="00076251" w:rsidP="00076251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EE03A5">
              <w:rPr>
                <w:rFonts w:asciiTheme="majorHAnsi" w:hAnsiTheme="majorHAnsi" w:cstheme="majorHAnsi"/>
              </w:rPr>
              <w:t>Operativos</w:t>
            </w:r>
          </w:p>
        </w:tc>
        <w:tc>
          <w:tcPr>
            <w:tcW w:w="4320" w:type="dxa"/>
          </w:tcPr>
          <w:p w14:paraId="0526D2E0" w14:textId="77777777" w:rsidR="00F20539" w:rsidRPr="00EE03A5" w:rsidRDefault="00076251" w:rsidP="00076251">
            <w:pPr>
              <w:spacing w:after="0" w:line="240" w:lineRule="auto"/>
              <w:rPr>
                <w:rFonts w:asciiTheme="majorHAnsi" w:hAnsiTheme="majorHAnsi" w:cstheme="majorHAnsi"/>
                <w:lang w:val="es-CO"/>
              </w:rPr>
            </w:pPr>
            <w:r w:rsidRPr="00EE03A5">
              <w:rPr>
                <w:rFonts w:asciiTheme="majorHAnsi" w:hAnsiTheme="majorHAnsi" w:cstheme="majorHAnsi"/>
                <w:lang w:val="es-CO"/>
              </w:rPr>
              <w:t>Problemas de comunicación o disponibilidad del equipo.</w:t>
            </w:r>
          </w:p>
        </w:tc>
      </w:tr>
      <w:tr w:rsidR="00F20539" w:rsidRPr="004E3029" w14:paraId="42E12132" w14:textId="77777777" w:rsidTr="00EE03A5">
        <w:tc>
          <w:tcPr>
            <w:tcW w:w="4320" w:type="dxa"/>
          </w:tcPr>
          <w:p w14:paraId="3B56F5D8" w14:textId="77777777" w:rsidR="00F20539" w:rsidRPr="00EE03A5" w:rsidRDefault="00076251" w:rsidP="00076251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EE03A5">
              <w:rPr>
                <w:rFonts w:asciiTheme="majorHAnsi" w:hAnsiTheme="majorHAnsi" w:cstheme="majorHAnsi"/>
              </w:rPr>
              <w:t>Externos o ambientales</w:t>
            </w:r>
          </w:p>
        </w:tc>
        <w:tc>
          <w:tcPr>
            <w:tcW w:w="4320" w:type="dxa"/>
          </w:tcPr>
          <w:p w14:paraId="1222248E" w14:textId="77777777" w:rsidR="00F20539" w:rsidRPr="00EE03A5" w:rsidRDefault="00076251" w:rsidP="00076251">
            <w:pPr>
              <w:spacing w:after="0" w:line="240" w:lineRule="auto"/>
              <w:rPr>
                <w:rFonts w:asciiTheme="majorHAnsi" w:hAnsiTheme="majorHAnsi" w:cstheme="majorHAnsi"/>
                <w:lang w:val="es-CO"/>
              </w:rPr>
            </w:pPr>
            <w:r w:rsidRPr="00EE03A5">
              <w:rPr>
                <w:rFonts w:asciiTheme="majorHAnsi" w:hAnsiTheme="majorHAnsi" w:cstheme="majorHAnsi"/>
                <w:lang w:val="es-CO"/>
              </w:rPr>
              <w:t>Cambios políticos, desastres naturales o nuevas regulaciones.</w:t>
            </w:r>
          </w:p>
        </w:tc>
      </w:tr>
      <w:tr w:rsidR="00F20539" w:rsidRPr="004E3029" w14:paraId="40AAD7FB" w14:textId="77777777" w:rsidTr="00EE03A5">
        <w:tc>
          <w:tcPr>
            <w:tcW w:w="4320" w:type="dxa"/>
          </w:tcPr>
          <w:p w14:paraId="51C34B30" w14:textId="77777777" w:rsidR="00F20539" w:rsidRPr="00EE03A5" w:rsidRDefault="00076251" w:rsidP="00076251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EE03A5">
              <w:rPr>
                <w:rFonts w:asciiTheme="majorHAnsi" w:hAnsiTheme="majorHAnsi" w:cstheme="majorHAnsi"/>
              </w:rPr>
              <w:t>De alcance (scope creep)</w:t>
            </w:r>
          </w:p>
        </w:tc>
        <w:tc>
          <w:tcPr>
            <w:tcW w:w="4320" w:type="dxa"/>
          </w:tcPr>
          <w:p w14:paraId="4C2849FA" w14:textId="77777777" w:rsidR="00F20539" w:rsidRPr="00EE03A5" w:rsidRDefault="00076251" w:rsidP="00076251">
            <w:pPr>
              <w:spacing w:after="0" w:line="240" w:lineRule="auto"/>
              <w:rPr>
                <w:rFonts w:asciiTheme="majorHAnsi" w:hAnsiTheme="majorHAnsi" w:cstheme="majorHAnsi"/>
                <w:lang w:val="es-CO"/>
              </w:rPr>
            </w:pPr>
            <w:r w:rsidRPr="00EE03A5">
              <w:rPr>
                <w:rFonts w:asciiTheme="majorHAnsi" w:hAnsiTheme="majorHAnsi" w:cstheme="majorHAnsi"/>
                <w:lang w:val="es-CO"/>
              </w:rPr>
              <w:t>Cambios no controlados en los objetivos o tareas del proyecto.</w:t>
            </w:r>
          </w:p>
        </w:tc>
      </w:tr>
      <w:tr w:rsidR="00F20539" w:rsidRPr="004E3029" w14:paraId="7CF8262F" w14:textId="77777777" w:rsidTr="00EE03A5">
        <w:tc>
          <w:tcPr>
            <w:tcW w:w="4320" w:type="dxa"/>
          </w:tcPr>
          <w:p w14:paraId="752CA20E" w14:textId="77777777" w:rsidR="00F20539" w:rsidRPr="00EE03A5" w:rsidRDefault="00076251" w:rsidP="00076251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EE03A5">
              <w:rPr>
                <w:rFonts w:asciiTheme="majorHAnsi" w:hAnsiTheme="majorHAnsi" w:cstheme="majorHAnsi"/>
              </w:rPr>
              <w:t>De comunicación o sociales</w:t>
            </w:r>
          </w:p>
        </w:tc>
        <w:tc>
          <w:tcPr>
            <w:tcW w:w="4320" w:type="dxa"/>
          </w:tcPr>
          <w:p w14:paraId="4C51E62D" w14:textId="77777777" w:rsidR="00F20539" w:rsidRPr="00EE03A5" w:rsidRDefault="00076251" w:rsidP="00076251">
            <w:pPr>
              <w:spacing w:after="0" w:line="240" w:lineRule="auto"/>
              <w:rPr>
                <w:rFonts w:asciiTheme="majorHAnsi" w:hAnsiTheme="majorHAnsi" w:cstheme="majorHAnsi"/>
                <w:lang w:val="es-CO"/>
              </w:rPr>
            </w:pPr>
            <w:r w:rsidRPr="00EE03A5">
              <w:rPr>
                <w:rFonts w:asciiTheme="majorHAnsi" w:hAnsiTheme="majorHAnsi" w:cstheme="majorHAnsi"/>
                <w:lang w:val="es-CO"/>
              </w:rPr>
              <w:t>Conflictos entre actores o falta de claridad en roles.</w:t>
            </w:r>
          </w:p>
        </w:tc>
      </w:tr>
    </w:tbl>
    <w:p w14:paraId="56DDD11C" w14:textId="77777777" w:rsidR="00F20539" w:rsidRPr="00EE03A5" w:rsidRDefault="00076251" w:rsidP="00EE03A5">
      <w:pPr>
        <w:pStyle w:val="Ttulo1"/>
        <w:rPr>
          <w:rFonts w:cstheme="majorHAnsi"/>
          <w:sz w:val="22"/>
          <w:szCs w:val="22"/>
          <w:lang w:val="es-CO"/>
        </w:rPr>
      </w:pPr>
      <w:r w:rsidRPr="00EE03A5">
        <w:rPr>
          <w:rFonts w:cstheme="majorHAnsi"/>
          <w:sz w:val="22"/>
          <w:szCs w:val="22"/>
          <w:lang w:val="es-CO"/>
        </w:rPr>
        <w:t>3. Cómo realizar un análisis de riesgos</w:t>
      </w:r>
    </w:p>
    <w:p w14:paraId="16ABF8B7" w14:textId="77777777" w:rsidR="00F20539" w:rsidRPr="00EE03A5" w:rsidRDefault="00076251" w:rsidP="00EE03A5">
      <w:pPr>
        <w:rPr>
          <w:rFonts w:asciiTheme="majorHAnsi" w:hAnsiTheme="majorHAnsi" w:cstheme="majorHAnsi"/>
          <w:lang w:val="es-CO"/>
        </w:rPr>
      </w:pPr>
      <w:r w:rsidRPr="00EE03A5">
        <w:rPr>
          <w:rFonts w:asciiTheme="majorHAnsi" w:hAnsiTheme="majorHAnsi" w:cstheme="majorHAnsi"/>
          <w:lang w:val="es-CO"/>
        </w:rPr>
        <w:t>El análisis de riesgos permite identificar y evaluar las amenazas que podrían afectar un proyecto. El proceso incluye varias etapas básicas (Asana, s. f.; Atlassian, s. f.; Smartsheet, s. f.):</w:t>
      </w:r>
    </w:p>
    <w:p w14:paraId="5E713A47" w14:textId="13F1222C" w:rsidR="00F20539" w:rsidRPr="00EE03A5" w:rsidRDefault="00076251" w:rsidP="00EE03A5">
      <w:pPr>
        <w:pStyle w:val="Listaconnmeros"/>
        <w:rPr>
          <w:rFonts w:asciiTheme="majorHAnsi" w:hAnsiTheme="majorHAnsi" w:cstheme="majorHAnsi"/>
          <w:lang w:val="es-CO"/>
        </w:rPr>
      </w:pPr>
      <w:r w:rsidRPr="00EE03A5">
        <w:rPr>
          <w:rFonts w:asciiTheme="majorHAnsi" w:hAnsiTheme="majorHAnsi" w:cstheme="majorHAnsi"/>
          <w:lang w:val="es-CO"/>
        </w:rPr>
        <w:t>Identificar los riesgos: reunir al equipo y listar los posibles eventos que pueden afectar el proyecto.</w:t>
      </w:r>
    </w:p>
    <w:p w14:paraId="38D59FAB" w14:textId="24B8B44C" w:rsidR="00F20539" w:rsidRPr="00EE03A5" w:rsidRDefault="00076251" w:rsidP="00EE03A5">
      <w:pPr>
        <w:pStyle w:val="Listaconnmeros"/>
        <w:rPr>
          <w:rFonts w:asciiTheme="majorHAnsi" w:hAnsiTheme="majorHAnsi" w:cstheme="majorHAnsi"/>
          <w:lang w:val="es-CO"/>
        </w:rPr>
      </w:pPr>
      <w:r w:rsidRPr="00EE03A5">
        <w:rPr>
          <w:rFonts w:asciiTheme="majorHAnsi" w:hAnsiTheme="majorHAnsi" w:cstheme="majorHAnsi"/>
          <w:lang w:val="es-CO"/>
        </w:rPr>
        <w:t>Analizar la probabilidad e impacto: valorar qué tan probable es que ocurra cada riesgo y qué consecuencias tendría.</w:t>
      </w:r>
    </w:p>
    <w:p w14:paraId="765B2FD8" w14:textId="5CE997EE" w:rsidR="00F20539" w:rsidRPr="00EE03A5" w:rsidRDefault="00076251" w:rsidP="00EE03A5">
      <w:pPr>
        <w:pStyle w:val="Listaconnmeros"/>
        <w:rPr>
          <w:rFonts w:asciiTheme="majorHAnsi" w:hAnsiTheme="majorHAnsi" w:cstheme="majorHAnsi"/>
          <w:lang w:val="es-CO"/>
        </w:rPr>
      </w:pPr>
      <w:r w:rsidRPr="00EE03A5">
        <w:rPr>
          <w:rFonts w:asciiTheme="majorHAnsi" w:hAnsiTheme="majorHAnsi" w:cstheme="majorHAnsi"/>
          <w:lang w:val="es-CO"/>
        </w:rPr>
        <w:t>Priorizar los riesgos: clasificar los riesgos según su nivel de amenaza (alto, medio, bajo).</w:t>
      </w:r>
    </w:p>
    <w:p w14:paraId="234771AC" w14:textId="08767AE1" w:rsidR="00F20539" w:rsidRPr="00EE03A5" w:rsidRDefault="00076251" w:rsidP="00EE03A5">
      <w:pPr>
        <w:pStyle w:val="Listaconnmeros"/>
        <w:rPr>
          <w:rFonts w:asciiTheme="majorHAnsi" w:hAnsiTheme="majorHAnsi" w:cstheme="majorHAnsi"/>
          <w:lang w:val="es-CO"/>
        </w:rPr>
      </w:pPr>
      <w:r w:rsidRPr="00EE03A5">
        <w:rPr>
          <w:rFonts w:asciiTheme="majorHAnsi" w:hAnsiTheme="majorHAnsi" w:cstheme="majorHAnsi"/>
          <w:lang w:val="es-CO"/>
        </w:rPr>
        <w:t>Diseñar respuestas: definir medidas preventivas o correctivas (evitar, reducir, transferir o aceptar el riesgo).</w:t>
      </w:r>
    </w:p>
    <w:p w14:paraId="06E0A53C" w14:textId="4454AF0D" w:rsidR="00F20539" w:rsidRPr="00EE03A5" w:rsidRDefault="00076251" w:rsidP="00EE03A5">
      <w:pPr>
        <w:pStyle w:val="Listaconnmeros"/>
        <w:rPr>
          <w:rFonts w:asciiTheme="majorHAnsi" w:hAnsiTheme="majorHAnsi" w:cstheme="majorHAnsi"/>
          <w:lang w:val="es-CO"/>
        </w:rPr>
      </w:pPr>
      <w:r w:rsidRPr="00EE03A5">
        <w:rPr>
          <w:rFonts w:asciiTheme="majorHAnsi" w:hAnsiTheme="majorHAnsi" w:cstheme="majorHAnsi"/>
          <w:lang w:val="es-CO"/>
        </w:rPr>
        <w:lastRenderedPageBreak/>
        <w:t>Monitorear y revisar: actualizar periódicamente la lista de riesgos durante la ejecución del proyecto.</w:t>
      </w:r>
    </w:p>
    <w:p w14:paraId="732FA8CA" w14:textId="77777777" w:rsidR="00F20539" w:rsidRPr="00EE03A5" w:rsidRDefault="00076251" w:rsidP="00EE03A5">
      <w:pPr>
        <w:pStyle w:val="Ttulo1"/>
        <w:rPr>
          <w:rFonts w:cstheme="majorHAnsi"/>
          <w:sz w:val="22"/>
          <w:szCs w:val="22"/>
          <w:lang w:val="es-CO"/>
        </w:rPr>
      </w:pPr>
      <w:r w:rsidRPr="00EE03A5">
        <w:rPr>
          <w:rFonts w:cstheme="majorHAnsi"/>
          <w:sz w:val="22"/>
          <w:szCs w:val="22"/>
          <w:lang w:val="es-CO"/>
        </w:rPr>
        <w:t>4. Acciones para el manejo y seguimiento de riesgos</w:t>
      </w:r>
    </w:p>
    <w:p w14:paraId="066B3DDB" w14:textId="77777777" w:rsidR="00F20539" w:rsidRPr="00EE03A5" w:rsidRDefault="00076251" w:rsidP="00EE03A5">
      <w:pPr>
        <w:rPr>
          <w:rFonts w:asciiTheme="majorHAnsi" w:hAnsiTheme="majorHAnsi" w:cstheme="majorHAnsi"/>
        </w:rPr>
      </w:pPr>
      <w:r w:rsidRPr="00EE03A5">
        <w:rPr>
          <w:rFonts w:asciiTheme="majorHAnsi" w:hAnsiTheme="majorHAnsi" w:cstheme="majorHAnsi"/>
          <w:lang w:val="es-CO"/>
        </w:rPr>
        <w:t xml:space="preserve">Una vez identificados los riesgos, se deben establecer medidas concretas para su manejo. </w:t>
      </w:r>
      <w:r w:rsidRPr="00EE03A5">
        <w:rPr>
          <w:rFonts w:asciiTheme="majorHAnsi" w:hAnsiTheme="majorHAnsi" w:cstheme="majorHAnsi"/>
        </w:rPr>
        <w:t>Estas acciones incluyen (Coursera, 2023; Atlassian, s. f.; Indeed, 2024):</w:t>
      </w:r>
    </w:p>
    <w:p w14:paraId="5B30A065" w14:textId="77777777" w:rsidR="00F20539" w:rsidRPr="00EE03A5" w:rsidRDefault="00076251" w:rsidP="00EE03A5">
      <w:pPr>
        <w:pStyle w:val="Listaconvietas"/>
        <w:rPr>
          <w:rFonts w:asciiTheme="majorHAnsi" w:hAnsiTheme="majorHAnsi" w:cstheme="majorHAnsi"/>
          <w:lang w:val="es-CO"/>
        </w:rPr>
      </w:pPr>
      <w:r w:rsidRPr="00EE03A5">
        <w:rPr>
          <w:rFonts w:asciiTheme="majorHAnsi" w:hAnsiTheme="majorHAnsi" w:cstheme="majorHAnsi"/>
          <w:lang w:val="es-CO"/>
        </w:rPr>
        <w:t>Evitar el riesgo modificando el plan o eliminando la causa.</w:t>
      </w:r>
    </w:p>
    <w:p w14:paraId="7386387A" w14:textId="77777777" w:rsidR="00F20539" w:rsidRPr="00EE03A5" w:rsidRDefault="00076251" w:rsidP="00EE03A5">
      <w:pPr>
        <w:pStyle w:val="Listaconvietas"/>
        <w:rPr>
          <w:rFonts w:asciiTheme="majorHAnsi" w:hAnsiTheme="majorHAnsi" w:cstheme="majorHAnsi"/>
          <w:lang w:val="es-CO"/>
        </w:rPr>
      </w:pPr>
      <w:r w:rsidRPr="00EE03A5">
        <w:rPr>
          <w:rFonts w:asciiTheme="majorHAnsi" w:hAnsiTheme="majorHAnsi" w:cstheme="majorHAnsi"/>
          <w:lang w:val="es-CO"/>
        </w:rPr>
        <w:t>Reducir la probabilidad o el impacto mediante capacitación, control o recursos adicionales.</w:t>
      </w:r>
    </w:p>
    <w:p w14:paraId="7F318ED6" w14:textId="77777777" w:rsidR="00F20539" w:rsidRPr="00EE03A5" w:rsidRDefault="00076251" w:rsidP="00EE03A5">
      <w:pPr>
        <w:pStyle w:val="Listaconvietas"/>
        <w:rPr>
          <w:rFonts w:asciiTheme="majorHAnsi" w:hAnsiTheme="majorHAnsi" w:cstheme="majorHAnsi"/>
          <w:lang w:val="es-CO"/>
        </w:rPr>
      </w:pPr>
      <w:r w:rsidRPr="00EE03A5">
        <w:rPr>
          <w:rFonts w:asciiTheme="majorHAnsi" w:hAnsiTheme="majorHAnsi" w:cstheme="majorHAnsi"/>
          <w:lang w:val="es-CO"/>
        </w:rPr>
        <w:t>Transferir el riesgo a un tercero (por ejemplo, mediante un seguro o contrato).</w:t>
      </w:r>
    </w:p>
    <w:p w14:paraId="2B41A4F3" w14:textId="77777777" w:rsidR="00F20539" w:rsidRPr="00EE03A5" w:rsidRDefault="00076251" w:rsidP="00EE03A5">
      <w:pPr>
        <w:pStyle w:val="Listaconvietas"/>
        <w:rPr>
          <w:rFonts w:asciiTheme="majorHAnsi" w:hAnsiTheme="majorHAnsi" w:cstheme="majorHAnsi"/>
          <w:lang w:val="es-CO"/>
        </w:rPr>
      </w:pPr>
      <w:r w:rsidRPr="00EE03A5">
        <w:rPr>
          <w:rFonts w:asciiTheme="majorHAnsi" w:hAnsiTheme="majorHAnsi" w:cstheme="majorHAnsi"/>
          <w:lang w:val="es-CO"/>
        </w:rPr>
        <w:t>Aceptar el riesgo si su efecto es mínimo o el costo de mitigarlo es demasiado alto.</w:t>
      </w:r>
    </w:p>
    <w:p w14:paraId="1061C5D6" w14:textId="77777777" w:rsidR="00F20539" w:rsidRPr="00EE03A5" w:rsidRDefault="00076251" w:rsidP="00EE03A5">
      <w:pPr>
        <w:pStyle w:val="Listaconvietas"/>
        <w:rPr>
          <w:rFonts w:asciiTheme="majorHAnsi" w:hAnsiTheme="majorHAnsi" w:cstheme="majorHAnsi"/>
          <w:lang w:val="es-CO"/>
        </w:rPr>
      </w:pPr>
      <w:r w:rsidRPr="00EE03A5">
        <w:rPr>
          <w:rFonts w:asciiTheme="majorHAnsi" w:hAnsiTheme="majorHAnsi" w:cstheme="majorHAnsi"/>
          <w:lang w:val="es-CO"/>
        </w:rPr>
        <w:t>Registrar y comunicar los riesgos en reuniones del proyecto para que todos estén informados.</w:t>
      </w:r>
    </w:p>
    <w:p w14:paraId="11EF6821" w14:textId="77777777" w:rsidR="00F20539" w:rsidRPr="00EE03A5" w:rsidRDefault="00076251" w:rsidP="00EE03A5">
      <w:pPr>
        <w:pStyle w:val="Ttulo1"/>
        <w:rPr>
          <w:rFonts w:cstheme="majorHAnsi"/>
          <w:sz w:val="22"/>
          <w:szCs w:val="22"/>
          <w:lang w:val="es-CO"/>
        </w:rPr>
      </w:pPr>
      <w:r w:rsidRPr="00EE03A5">
        <w:rPr>
          <w:rFonts w:cstheme="majorHAnsi"/>
          <w:sz w:val="22"/>
          <w:szCs w:val="22"/>
          <w:lang w:val="es-CO"/>
        </w:rPr>
        <w:t>5. Ejemplo de formato comunitario para identificación de riesgos</w:t>
      </w:r>
    </w:p>
    <w:p w14:paraId="287A751C" w14:textId="03B820C0" w:rsidR="00F20539" w:rsidRDefault="00076251" w:rsidP="00EE03A5">
      <w:pPr>
        <w:rPr>
          <w:rFonts w:asciiTheme="majorHAnsi" w:hAnsiTheme="majorHAnsi" w:cstheme="majorHAnsi"/>
          <w:lang w:val="es-CO"/>
        </w:rPr>
      </w:pPr>
      <w:r w:rsidRPr="00EE03A5">
        <w:rPr>
          <w:rFonts w:asciiTheme="majorHAnsi" w:hAnsiTheme="majorHAnsi" w:cstheme="majorHAnsi"/>
          <w:lang w:val="es-CO"/>
        </w:rPr>
        <w:t>El siguiente formato puede servir como guía sencilla para que las comunidades registren y gestionen los riesgos de sus proyectos</w:t>
      </w:r>
      <w:r w:rsidR="004E3029">
        <w:rPr>
          <w:rFonts w:asciiTheme="majorHAnsi" w:hAnsiTheme="majorHAnsi" w:cstheme="majorHAnsi"/>
          <w:lang w:val="es-CO"/>
        </w:rPr>
        <w:t xml:space="preserve"> de manejo forestal sostenible no maderables: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8"/>
        <w:gridCol w:w="1597"/>
        <w:gridCol w:w="1516"/>
        <w:gridCol w:w="1955"/>
        <w:gridCol w:w="2274"/>
      </w:tblGrid>
      <w:tr w:rsidR="00C5514A" w:rsidRPr="004E3029" w14:paraId="4A26B25C" w14:textId="77777777" w:rsidTr="00C5514A">
        <w:trPr>
          <w:tblHeader/>
          <w:tblCellSpacing w:w="15" w:type="dxa"/>
        </w:trPr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3B6586D7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Categoría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40F2BB13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Riesgo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3AFFA0FE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Contexto típico PFNM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7BD008FC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Mitigaciones clave</w:t>
            </w:r>
          </w:p>
        </w:tc>
        <w:tc>
          <w:tcPr>
            <w:tcW w:w="0" w:type="auto"/>
            <w:shd w:val="clear" w:color="auto" w:fill="DBE5F1" w:themeFill="accent1" w:themeFillTint="33"/>
            <w:vAlign w:val="center"/>
            <w:hideMark/>
          </w:tcPr>
          <w:p w14:paraId="76F5AE25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Referencia (APA)</w:t>
            </w:r>
          </w:p>
        </w:tc>
      </w:tr>
      <w:tr w:rsidR="00C5514A" w:rsidRPr="004E3029" w14:paraId="52433EFC" w14:textId="77777777" w:rsidTr="00CC3D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3AE699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Técnico / Desempeño</w:t>
            </w:r>
          </w:p>
        </w:tc>
        <w:tc>
          <w:tcPr>
            <w:tcW w:w="0" w:type="auto"/>
            <w:vAlign w:val="center"/>
            <w:hideMark/>
          </w:tcPr>
          <w:p w14:paraId="34AD6C5A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Sobrecosecha o extracción por encima del rendimiento sostenible</w:t>
            </w:r>
          </w:p>
        </w:tc>
        <w:tc>
          <w:tcPr>
            <w:tcW w:w="0" w:type="auto"/>
            <w:vAlign w:val="center"/>
            <w:hideMark/>
          </w:tcPr>
          <w:p w14:paraId="7C227A67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Cosecha de frutos o semillas sin estimar oferta ni tasa de regeneración</w:t>
            </w:r>
          </w:p>
        </w:tc>
        <w:tc>
          <w:tcPr>
            <w:tcW w:w="0" w:type="auto"/>
            <w:vAlign w:val="center"/>
            <w:hideMark/>
          </w:tcPr>
          <w:p w14:paraId="51BECD15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Realizar inventarios biométricos por especie; establecer UMAs, cuotas y rotaciones; monitoreo participativo anual</w:t>
            </w:r>
          </w:p>
        </w:tc>
        <w:tc>
          <w:tcPr>
            <w:tcW w:w="0" w:type="auto"/>
            <w:vAlign w:val="center"/>
            <w:hideMark/>
          </w:tcPr>
          <w:p w14:paraId="1FCE8EA6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</w:rPr>
              <w:t xml:space="preserve">FAO. (s. f.). </w:t>
            </w:r>
            <w:r w:rsidRPr="004E3029">
              <w:rPr>
                <w:rFonts w:ascii="Arial Narrow" w:hAnsi="Arial Narrow" w:cstheme="majorHAnsi"/>
                <w:i/>
                <w:iCs/>
                <w:sz w:val="20"/>
                <w:szCs w:val="20"/>
              </w:rPr>
              <w:t>Resource assessment of non-wood forest products: Experience and biometric principles</w:t>
            </w:r>
            <w:r w:rsidRPr="004E3029">
              <w:rPr>
                <w:rFonts w:ascii="Arial Narrow" w:hAnsi="Arial Narrow" w:cstheme="majorHAnsi"/>
                <w:sz w:val="20"/>
                <w:szCs w:val="20"/>
              </w:rPr>
              <w:t xml:space="preserve">. </w:t>
            </w: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FAO.</w:t>
            </w:r>
          </w:p>
        </w:tc>
      </w:tr>
      <w:tr w:rsidR="00C5514A" w:rsidRPr="004E3029" w14:paraId="3CFD8BFF" w14:textId="77777777" w:rsidTr="00CC3D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7811F6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Técnico / Desempeño</w:t>
            </w:r>
          </w:p>
        </w:tc>
        <w:tc>
          <w:tcPr>
            <w:tcW w:w="0" w:type="auto"/>
            <w:vAlign w:val="center"/>
            <w:hideMark/>
          </w:tcPr>
          <w:p w14:paraId="5F55F5E3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Reducción de regeneración natural / pérdida de viabilidad poblacional</w:t>
            </w:r>
          </w:p>
        </w:tc>
        <w:tc>
          <w:tcPr>
            <w:tcW w:w="0" w:type="auto"/>
            <w:vAlign w:val="center"/>
            <w:hideMark/>
          </w:tcPr>
          <w:p w14:paraId="7FC6F87A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Extracción excesiva de propágulos o frutos de árboles semilleros</w:t>
            </w:r>
          </w:p>
        </w:tc>
        <w:tc>
          <w:tcPr>
            <w:tcW w:w="0" w:type="auto"/>
            <w:vAlign w:val="center"/>
            <w:hideMark/>
          </w:tcPr>
          <w:p w14:paraId="0F37598F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Dejar porcentaje mínimo de fruto/semilla; proteger árboles semilleros; ajustar épocas de cosecha según fenología</w:t>
            </w:r>
          </w:p>
        </w:tc>
        <w:tc>
          <w:tcPr>
            <w:tcW w:w="0" w:type="auto"/>
            <w:vAlign w:val="center"/>
            <w:hideMark/>
          </w:tcPr>
          <w:p w14:paraId="59737287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</w:rPr>
              <w:t xml:space="preserve">FAO. (s. f.). </w:t>
            </w:r>
            <w:r w:rsidRPr="004E3029">
              <w:rPr>
                <w:rFonts w:ascii="Arial Narrow" w:hAnsi="Arial Narrow" w:cstheme="majorHAnsi"/>
                <w:i/>
                <w:iCs/>
                <w:sz w:val="20"/>
                <w:szCs w:val="20"/>
              </w:rPr>
              <w:t>Resource assessment of non-wood forest products: Experience and biometric principles</w:t>
            </w:r>
            <w:r w:rsidRPr="004E3029">
              <w:rPr>
                <w:rFonts w:ascii="Arial Narrow" w:hAnsi="Arial Narrow" w:cstheme="majorHAnsi"/>
                <w:sz w:val="20"/>
                <w:szCs w:val="20"/>
              </w:rPr>
              <w:t xml:space="preserve">. </w:t>
            </w: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FAO.</w:t>
            </w:r>
          </w:p>
        </w:tc>
      </w:tr>
      <w:tr w:rsidR="00C5514A" w:rsidRPr="004E3029" w14:paraId="642A3D23" w14:textId="77777777" w:rsidTr="00CC3D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4A692F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Externos / Ambientales</w:t>
            </w:r>
          </w:p>
        </w:tc>
        <w:tc>
          <w:tcPr>
            <w:tcW w:w="0" w:type="auto"/>
            <w:vAlign w:val="center"/>
            <w:hideMark/>
          </w:tcPr>
          <w:p w14:paraId="7FB2197F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Impacto en biodiversidad y hábitat</w:t>
            </w:r>
          </w:p>
        </w:tc>
        <w:tc>
          <w:tcPr>
            <w:tcW w:w="0" w:type="auto"/>
            <w:vAlign w:val="center"/>
            <w:hideMark/>
          </w:tcPr>
          <w:p w14:paraId="6E890CC7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Cosecha intensiva en áreas ecológicamente sensibles</w:t>
            </w:r>
          </w:p>
        </w:tc>
        <w:tc>
          <w:tcPr>
            <w:tcW w:w="0" w:type="auto"/>
            <w:vAlign w:val="center"/>
            <w:hideMark/>
          </w:tcPr>
          <w:p w14:paraId="1ABC2103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Zonificación (zonas de exclusión y aprovechamiento); corredores biológicos; capacitación ambiental</w:t>
            </w:r>
          </w:p>
        </w:tc>
        <w:tc>
          <w:tcPr>
            <w:tcW w:w="0" w:type="auto"/>
            <w:vAlign w:val="center"/>
            <w:hideMark/>
          </w:tcPr>
          <w:p w14:paraId="3E4B272A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</w:rPr>
              <w:t xml:space="preserve">ITTO &amp; IUCN. (2009). </w:t>
            </w:r>
            <w:r w:rsidRPr="004E3029">
              <w:rPr>
                <w:rFonts w:ascii="Arial Narrow" w:hAnsi="Arial Narrow" w:cstheme="majorHAnsi"/>
                <w:i/>
                <w:iCs/>
                <w:sz w:val="20"/>
                <w:szCs w:val="20"/>
              </w:rPr>
              <w:t>Guidelines for the Conservation and Sustainable Use of Biodiversity in Tropical Forests</w:t>
            </w:r>
            <w:r w:rsidRPr="004E3029">
              <w:rPr>
                <w:rFonts w:ascii="Arial Narrow" w:hAnsi="Arial Narrow" w:cstheme="majorHAnsi"/>
                <w:sz w:val="20"/>
                <w:szCs w:val="20"/>
              </w:rPr>
              <w:t xml:space="preserve">. </w:t>
            </w: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ITTO / IUCN.</w:t>
            </w:r>
          </w:p>
        </w:tc>
      </w:tr>
      <w:tr w:rsidR="00C5514A" w:rsidRPr="004E3029" w14:paraId="026EE11E" w14:textId="77777777" w:rsidTr="00CC3D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403F29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Comunicación / Sociales</w:t>
            </w:r>
          </w:p>
        </w:tc>
        <w:tc>
          <w:tcPr>
            <w:tcW w:w="0" w:type="auto"/>
            <w:vAlign w:val="center"/>
            <w:hideMark/>
          </w:tcPr>
          <w:p w14:paraId="47C410CA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Tenencia o acceso incierto a los recursos</w:t>
            </w:r>
          </w:p>
        </w:tc>
        <w:tc>
          <w:tcPr>
            <w:tcW w:w="0" w:type="auto"/>
            <w:vAlign w:val="center"/>
            <w:hideMark/>
          </w:tcPr>
          <w:p w14:paraId="47C4E9D4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Conflictos por derechos de uso en bosques comunitarios o indígenas</w:t>
            </w:r>
          </w:p>
        </w:tc>
        <w:tc>
          <w:tcPr>
            <w:tcW w:w="0" w:type="auto"/>
            <w:vAlign w:val="center"/>
            <w:hideMark/>
          </w:tcPr>
          <w:p w14:paraId="684B38B0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Acreditar tenencia; acuerdos de uso; distribución equitativa de beneficios</w:t>
            </w:r>
          </w:p>
        </w:tc>
        <w:tc>
          <w:tcPr>
            <w:tcW w:w="0" w:type="auto"/>
            <w:vAlign w:val="center"/>
            <w:hideMark/>
          </w:tcPr>
          <w:p w14:paraId="28CAAD80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</w:rPr>
              <w:t xml:space="preserve">IFC. (2012). </w:t>
            </w:r>
            <w:r w:rsidRPr="004E3029">
              <w:rPr>
                <w:rFonts w:ascii="Arial Narrow" w:hAnsi="Arial Narrow" w:cstheme="majorHAnsi"/>
                <w:i/>
                <w:iCs/>
                <w:sz w:val="20"/>
                <w:szCs w:val="20"/>
              </w:rPr>
              <w:t>Performance Standard 6: Biodiversity Conservation and Sustainable Management of Living Natural Resources</w:t>
            </w:r>
            <w:r w:rsidRPr="004E3029">
              <w:rPr>
                <w:rFonts w:ascii="Arial Narrow" w:hAnsi="Arial Narrow" w:cstheme="majorHAnsi"/>
                <w:sz w:val="20"/>
                <w:szCs w:val="20"/>
              </w:rPr>
              <w:t xml:space="preserve">. </w:t>
            </w: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International Finance Corporation.</w:t>
            </w:r>
          </w:p>
        </w:tc>
      </w:tr>
      <w:tr w:rsidR="00C5514A" w:rsidRPr="004E3029" w14:paraId="7766996C" w14:textId="77777777" w:rsidTr="00CC3D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567784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Comunicación / Sociales</w:t>
            </w:r>
          </w:p>
        </w:tc>
        <w:tc>
          <w:tcPr>
            <w:tcW w:w="0" w:type="auto"/>
            <w:vAlign w:val="center"/>
            <w:hideMark/>
          </w:tcPr>
          <w:p w14:paraId="4733C0C5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Afectación a Pueblos Indígenas – falta de consulta previa (FPIC)</w:t>
            </w:r>
          </w:p>
        </w:tc>
        <w:tc>
          <w:tcPr>
            <w:tcW w:w="0" w:type="auto"/>
            <w:vAlign w:val="center"/>
            <w:hideMark/>
          </w:tcPr>
          <w:p w14:paraId="277719CA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Acceso a PFNM en territorios indígenas sin consentimiento</w:t>
            </w:r>
          </w:p>
        </w:tc>
        <w:tc>
          <w:tcPr>
            <w:tcW w:w="0" w:type="auto"/>
            <w:vAlign w:val="center"/>
            <w:hideMark/>
          </w:tcPr>
          <w:p w14:paraId="1F251428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Aplicar FPIC; planes culturalmente adecuados; mecanismos de quejas y resolución de conflictos</w:t>
            </w:r>
          </w:p>
        </w:tc>
        <w:tc>
          <w:tcPr>
            <w:tcW w:w="0" w:type="auto"/>
            <w:vAlign w:val="center"/>
            <w:hideMark/>
          </w:tcPr>
          <w:p w14:paraId="6C82F7BA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</w:rPr>
              <w:t xml:space="preserve">World Bank. (2018). </w:t>
            </w:r>
            <w:r w:rsidRPr="004E3029">
              <w:rPr>
                <w:rFonts w:ascii="Arial Narrow" w:hAnsi="Arial Narrow" w:cstheme="majorHAnsi"/>
                <w:i/>
                <w:iCs/>
                <w:sz w:val="20"/>
                <w:szCs w:val="20"/>
              </w:rPr>
              <w:t>Environmental and Social Framework – ESS7: Indigenous Peoples/Sub-Saharan African Historically Underserved Traditional Local Communities</w:t>
            </w:r>
            <w:r w:rsidRPr="004E3029">
              <w:rPr>
                <w:rFonts w:ascii="Arial Narrow" w:hAnsi="Arial Narrow" w:cstheme="majorHAnsi"/>
                <w:sz w:val="20"/>
                <w:szCs w:val="20"/>
              </w:rPr>
              <w:t xml:space="preserve">. </w:t>
            </w: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World Bank.</w:t>
            </w:r>
          </w:p>
        </w:tc>
      </w:tr>
      <w:tr w:rsidR="00C5514A" w:rsidRPr="004E3029" w14:paraId="647ED417" w14:textId="77777777" w:rsidTr="00CC3D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71AE3F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Financieros</w:t>
            </w:r>
          </w:p>
        </w:tc>
        <w:tc>
          <w:tcPr>
            <w:tcW w:w="0" w:type="auto"/>
            <w:vAlign w:val="center"/>
            <w:hideMark/>
          </w:tcPr>
          <w:p w14:paraId="60369794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Volatilidad de precios o dependencia de un solo comprador</w:t>
            </w:r>
          </w:p>
        </w:tc>
        <w:tc>
          <w:tcPr>
            <w:tcW w:w="0" w:type="auto"/>
            <w:vAlign w:val="center"/>
            <w:hideMark/>
          </w:tcPr>
          <w:p w14:paraId="2961E9CD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Fluctuaciones del mercado o acaparamiento</w:t>
            </w:r>
          </w:p>
        </w:tc>
        <w:tc>
          <w:tcPr>
            <w:tcW w:w="0" w:type="auto"/>
            <w:vAlign w:val="center"/>
            <w:hideMark/>
          </w:tcPr>
          <w:p w14:paraId="2C531991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Diversificación de mercados; contratos marco; análisis de precios y márgenes</w:t>
            </w:r>
          </w:p>
        </w:tc>
        <w:tc>
          <w:tcPr>
            <w:tcW w:w="0" w:type="auto"/>
            <w:vAlign w:val="center"/>
            <w:hideMark/>
          </w:tcPr>
          <w:p w14:paraId="0B089D15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</w:rPr>
              <w:t xml:space="preserve">UNEP-WCMC &amp; ODI. (2009). </w:t>
            </w:r>
            <w:r w:rsidRPr="004E3029">
              <w:rPr>
                <w:rFonts w:ascii="Arial Narrow" w:hAnsi="Arial Narrow" w:cstheme="majorHAnsi"/>
                <w:i/>
                <w:iCs/>
                <w:sz w:val="20"/>
                <w:szCs w:val="20"/>
              </w:rPr>
              <w:t>Commercialization of NTFPs: Factors Influencing Success</w:t>
            </w:r>
            <w:r w:rsidRPr="004E3029">
              <w:rPr>
                <w:rFonts w:ascii="Arial Narrow" w:hAnsi="Arial Narrow" w:cstheme="majorHAnsi"/>
                <w:sz w:val="20"/>
                <w:szCs w:val="20"/>
              </w:rPr>
              <w:t xml:space="preserve">. </w:t>
            </w: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Overseas Development Institute.</w:t>
            </w:r>
          </w:p>
        </w:tc>
      </w:tr>
      <w:tr w:rsidR="00C5514A" w:rsidRPr="004E3029" w14:paraId="596D6CBD" w14:textId="77777777" w:rsidTr="00CC3D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17A986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Técnico / Desempeño</w:t>
            </w:r>
          </w:p>
        </w:tc>
        <w:tc>
          <w:tcPr>
            <w:tcW w:w="0" w:type="auto"/>
            <w:vAlign w:val="center"/>
            <w:hideMark/>
          </w:tcPr>
          <w:p w14:paraId="24CF285D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Problemas de trazabilidad, calidad e inocuidad</w:t>
            </w:r>
          </w:p>
        </w:tc>
        <w:tc>
          <w:tcPr>
            <w:tcW w:w="0" w:type="auto"/>
            <w:vAlign w:val="center"/>
            <w:hideMark/>
          </w:tcPr>
          <w:p w14:paraId="3A4C317B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Mezcla de calidades o contaminación durante acopio</w:t>
            </w:r>
          </w:p>
        </w:tc>
        <w:tc>
          <w:tcPr>
            <w:tcW w:w="0" w:type="auto"/>
            <w:vAlign w:val="center"/>
            <w:hideMark/>
          </w:tcPr>
          <w:p w14:paraId="18131048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Protocolos de poscosecha; control de humedad; trazabilidad por lote; capacitación en calidad</w:t>
            </w:r>
          </w:p>
        </w:tc>
        <w:tc>
          <w:tcPr>
            <w:tcW w:w="0" w:type="auto"/>
            <w:vAlign w:val="center"/>
            <w:hideMark/>
          </w:tcPr>
          <w:p w14:paraId="2E645068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</w:rPr>
              <w:t xml:space="preserve">UNEP-WCMC &amp; ODI. (2009). </w:t>
            </w:r>
            <w:r w:rsidRPr="004E3029">
              <w:rPr>
                <w:rFonts w:ascii="Arial Narrow" w:hAnsi="Arial Narrow" w:cstheme="majorHAnsi"/>
                <w:i/>
                <w:iCs/>
                <w:sz w:val="20"/>
                <w:szCs w:val="20"/>
              </w:rPr>
              <w:t>Commercialization of NTFPs: Factors Influencing Success</w:t>
            </w:r>
            <w:r w:rsidRPr="004E3029">
              <w:rPr>
                <w:rFonts w:ascii="Arial Narrow" w:hAnsi="Arial Narrow" w:cstheme="majorHAnsi"/>
                <w:sz w:val="20"/>
                <w:szCs w:val="20"/>
              </w:rPr>
              <w:t xml:space="preserve">. </w:t>
            </w: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Overseas Development Institute.</w:t>
            </w:r>
          </w:p>
        </w:tc>
      </w:tr>
      <w:tr w:rsidR="00C5514A" w:rsidRPr="004E3029" w14:paraId="5D5F7DD3" w14:textId="77777777" w:rsidTr="00CC3D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6E745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Operativos</w:t>
            </w:r>
          </w:p>
        </w:tc>
        <w:tc>
          <w:tcPr>
            <w:tcW w:w="0" w:type="auto"/>
            <w:vAlign w:val="center"/>
            <w:hideMark/>
          </w:tcPr>
          <w:p w14:paraId="05F2FE9D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Riesgos de seguridad y salud ocupacional (EHS)</w:t>
            </w:r>
          </w:p>
        </w:tc>
        <w:tc>
          <w:tcPr>
            <w:tcW w:w="0" w:type="auto"/>
            <w:vAlign w:val="center"/>
            <w:hideMark/>
          </w:tcPr>
          <w:p w14:paraId="561E7785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Caídas, cortes, transporte inseguro, exposición a plagas</w:t>
            </w:r>
          </w:p>
        </w:tc>
        <w:tc>
          <w:tcPr>
            <w:tcW w:w="0" w:type="auto"/>
            <w:vAlign w:val="center"/>
            <w:hideMark/>
          </w:tcPr>
          <w:p w14:paraId="69DC02C7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Aplicar guías EHS forestales; uso de EPP; capacitación; planes de emergencia</w:t>
            </w:r>
          </w:p>
        </w:tc>
        <w:tc>
          <w:tcPr>
            <w:tcW w:w="0" w:type="auto"/>
            <w:vAlign w:val="center"/>
            <w:hideMark/>
          </w:tcPr>
          <w:p w14:paraId="386387DA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</w:rPr>
              <w:t xml:space="preserve">IFC. (2007). </w:t>
            </w:r>
            <w:r w:rsidRPr="004E3029">
              <w:rPr>
                <w:rFonts w:ascii="Arial Narrow" w:hAnsi="Arial Narrow" w:cstheme="majorHAnsi"/>
                <w:i/>
                <w:iCs/>
                <w:sz w:val="20"/>
                <w:szCs w:val="20"/>
              </w:rPr>
              <w:t>Environmental, Health, and Safety Guidelines for Forestry</w:t>
            </w:r>
            <w:r w:rsidRPr="004E3029">
              <w:rPr>
                <w:rFonts w:ascii="Arial Narrow" w:hAnsi="Arial Narrow" w:cstheme="majorHAnsi"/>
                <w:sz w:val="20"/>
                <w:szCs w:val="20"/>
              </w:rPr>
              <w:t xml:space="preserve">. </w:t>
            </w: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International Finance Corporation.</w:t>
            </w:r>
          </w:p>
        </w:tc>
      </w:tr>
      <w:tr w:rsidR="00C5514A" w:rsidRPr="004E3029" w14:paraId="35D8A0FB" w14:textId="77777777" w:rsidTr="00CC3D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13C583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Externos / Ambientales</w:t>
            </w:r>
          </w:p>
        </w:tc>
        <w:tc>
          <w:tcPr>
            <w:tcW w:w="0" w:type="auto"/>
            <w:vAlign w:val="center"/>
            <w:hideMark/>
          </w:tcPr>
          <w:p w14:paraId="538CF281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Riesgos regulatorios o incumplimiento normativo</w:t>
            </w:r>
          </w:p>
        </w:tc>
        <w:tc>
          <w:tcPr>
            <w:tcW w:w="0" w:type="auto"/>
            <w:vAlign w:val="center"/>
            <w:hideMark/>
          </w:tcPr>
          <w:p w14:paraId="61401661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Planes forestales (POF) sin inclusión de PFNM; permisos incompletos</w:t>
            </w:r>
          </w:p>
        </w:tc>
        <w:tc>
          <w:tcPr>
            <w:tcW w:w="0" w:type="auto"/>
            <w:vAlign w:val="center"/>
            <w:hideMark/>
          </w:tcPr>
          <w:p w14:paraId="72A76712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Incluir PFNM en instrumentos de ordenación; cumplir trámites de aprovechamiento; registros ante autoridad ambiental</w:t>
            </w:r>
          </w:p>
        </w:tc>
        <w:tc>
          <w:tcPr>
            <w:tcW w:w="0" w:type="auto"/>
            <w:vAlign w:val="center"/>
            <w:hideMark/>
          </w:tcPr>
          <w:p w14:paraId="1B2A0398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 xml:space="preserve">Ministerio de Ambiente y Desarrollo Sostenible. (2022). </w:t>
            </w:r>
            <w:r w:rsidRPr="004E3029">
              <w:rPr>
                <w:rFonts w:ascii="Arial Narrow" w:hAnsi="Arial Narrow" w:cstheme="majorHAnsi"/>
                <w:i/>
                <w:iCs/>
                <w:sz w:val="20"/>
                <w:szCs w:val="20"/>
                <w:lang w:val="es-CO"/>
              </w:rPr>
              <w:t>Productos forestales no maderables en Colombia: consideraciones para su desarrollo</w:t>
            </w: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. MinAmbiente.</w:t>
            </w:r>
          </w:p>
        </w:tc>
      </w:tr>
      <w:tr w:rsidR="00C5514A" w:rsidRPr="004E3029" w14:paraId="4527DB52" w14:textId="77777777" w:rsidTr="00CC3D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59BD55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Comunicación / Sociales</w:t>
            </w:r>
          </w:p>
        </w:tc>
        <w:tc>
          <w:tcPr>
            <w:tcW w:w="0" w:type="auto"/>
            <w:vAlign w:val="center"/>
            <w:hideMark/>
          </w:tcPr>
          <w:p w14:paraId="23C10D71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Debilidades organizativas y de gobernanza</w:t>
            </w:r>
          </w:p>
        </w:tc>
        <w:tc>
          <w:tcPr>
            <w:tcW w:w="0" w:type="auto"/>
            <w:vAlign w:val="center"/>
            <w:hideMark/>
          </w:tcPr>
          <w:p w14:paraId="402D7E4B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Asociaciones sin reglas claras ni rendición de cuentas</w:t>
            </w:r>
          </w:p>
        </w:tc>
        <w:tc>
          <w:tcPr>
            <w:tcW w:w="0" w:type="auto"/>
            <w:vAlign w:val="center"/>
            <w:hideMark/>
          </w:tcPr>
          <w:p w14:paraId="2C52DFB6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Fortalecer estatutos y contabilidad; acuerdos de reparto; comités de gobernanza</w:t>
            </w:r>
          </w:p>
        </w:tc>
        <w:tc>
          <w:tcPr>
            <w:tcW w:w="0" w:type="auto"/>
            <w:vAlign w:val="center"/>
            <w:hideMark/>
          </w:tcPr>
          <w:p w14:paraId="025D0224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</w:rPr>
              <w:t xml:space="preserve">Shanley, P., Pierce, A., Laird, S., Guillén, A., &amp; López, C. (2008). </w:t>
            </w:r>
            <w:r w:rsidRPr="004E3029">
              <w:rPr>
                <w:rFonts w:ascii="Arial Narrow" w:hAnsi="Arial Narrow" w:cstheme="majorHAnsi"/>
                <w:i/>
                <w:iCs/>
                <w:sz w:val="20"/>
                <w:szCs w:val="20"/>
              </w:rPr>
              <w:t>Beyond Timber: Certification and Management of NTFPs</w:t>
            </w:r>
            <w:r w:rsidRPr="004E3029">
              <w:rPr>
                <w:rFonts w:ascii="Arial Narrow" w:hAnsi="Arial Narrow" w:cstheme="majorHAnsi"/>
                <w:sz w:val="20"/>
                <w:szCs w:val="20"/>
              </w:rPr>
              <w:t xml:space="preserve">. </w:t>
            </w: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CIFOR / ICRAF.</w:t>
            </w:r>
          </w:p>
        </w:tc>
      </w:tr>
      <w:tr w:rsidR="00C5514A" w:rsidRPr="004E3029" w14:paraId="75FA8955" w14:textId="77777777" w:rsidTr="00CC3D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AC3093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Externos / Ambientales</w:t>
            </w:r>
          </w:p>
        </w:tc>
        <w:tc>
          <w:tcPr>
            <w:tcW w:w="0" w:type="auto"/>
            <w:vAlign w:val="center"/>
            <w:hideMark/>
          </w:tcPr>
          <w:p w14:paraId="04D06866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Conversión del bosque por presión económica</w:t>
            </w:r>
          </w:p>
        </w:tc>
        <w:tc>
          <w:tcPr>
            <w:tcW w:w="0" w:type="auto"/>
            <w:vAlign w:val="center"/>
            <w:hideMark/>
          </w:tcPr>
          <w:p w14:paraId="4A41C13C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Cambio a ganadería o monocultivos ante ingresos inestables</w:t>
            </w:r>
          </w:p>
        </w:tc>
        <w:tc>
          <w:tcPr>
            <w:tcW w:w="0" w:type="auto"/>
            <w:vAlign w:val="center"/>
            <w:hideMark/>
          </w:tcPr>
          <w:p w14:paraId="579EECC4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Consolidar modelo PFNM + incentivos; acuerdos de conservación; certificación voluntaria</w:t>
            </w:r>
          </w:p>
        </w:tc>
        <w:tc>
          <w:tcPr>
            <w:tcW w:w="0" w:type="auto"/>
            <w:vAlign w:val="center"/>
            <w:hideMark/>
          </w:tcPr>
          <w:p w14:paraId="06EE1078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</w:rPr>
              <w:t xml:space="preserve">Shanley, P. et al. (2008). </w:t>
            </w:r>
            <w:r w:rsidRPr="004E3029">
              <w:rPr>
                <w:rFonts w:ascii="Arial Narrow" w:hAnsi="Arial Narrow" w:cstheme="majorHAnsi"/>
                <w:i/>
                <w:iCs/>
                <w:sz w:val="20"/>
                <w:szCs w:val="20"/>
              </w:rPr>
              <w:t>Beyond Timber: Certification and Management of NTFPs</w:t>
            </w:r>
            <w:r w:rsidRPr="004E3029">
              <w:rPr>
                <w:rFonts w:ascii="Arial Narrow" w:hAnsi="Arial Narrow" w:cstheme="majorHAnsi"/>
                <w:sz w:val="20"/>
                <w:szCs w:val="20"/>
              </w:rPr>
              <w:t xml:space="preserve">. </w:t>
            </w: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CIFOR / ICRAF.</w:t>
            </w:r>
          </w:p>
        </w:tc>
      </w:tr>
      <w:tr w:rsidR="00C5514A" w:rsidRPr="004E3029" w14:paraId="337CF541" w14:textId="77777777" w:rsidTr="00CC3D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6F471B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Operativos</w:t>
            </w:r>
          </w:p>
        </w:tc>
        <w:tc>
          <w:tcPr>
            <w:tcW w:w="0" w:type="auto"/>
            <w:vAlign w:val="center"/>
            <w:hideMark/>
          </w:tcPr>
          <w:p w14:paraId="2F07929A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Riesgos ambientales operativos (quemas, residuos, caminos)</w:t>
            </w:r>
          </w:p>
        </w:tc>
        <w:tc>
          <w:tcPr>
            <w:tcW w:w="0" w:type="auto"/>
            <w:vAlign w:val="center"/>
            <w:hideMark/>
          </w:tcPr>
          <w:p w14:paraId="508FF5D6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Mal manejo de residuos, apertura de trochas o uso de fuego</w:t>
            </w:r>
          </w:p>
        </w:tc>
        <w:tc>
          <w:tcPr>
            <w:tcW w:w="0" w:type="auto"/>
            <w:vAlign w:val="center"/>
            <w:hideMark/>
          </w:tcPr>
          <w:p w14:paraId="3DD6EF0E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Planes de manejo ambiental; prohibición de quemas; disposición adecuada de residuos</w:t>
            </w:r>
          </w:p>
        </w:tc>
        <w:tc>
          <w:tcPr>
            <w:tcW w:w="0" w:type="auto"/>
            <w:vAlign w:val="center"/>
            <w:hideMark/>
          </w:tcPr>
          <w:p w14:paraId="799DBD88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</w:rPr>
              <w:t xml:space="preserve">IFC. (2007). </w:t>
            </w:r>
            <w:r w:rsidRPr="004E3029">
              <w:rPr>
                <w:rFonts w:ascii="Arial Narrow" w:hAnsi="Arial Narrow" w:cstheme="majorHAnsi"/>
                <w:i/>
                <w:iCs/>
                <w:sz w:val="20"/>
                <w:szCs w:val="20"/>
              </w:rPr>
              <w:t>Environmental, Health, and Safety Guidelines for Forestry</w:t>
            </w:r>
            <w:r w:rsidRPr="004E3029">
              <w:rPr>
                <w:rFonts w:ascii="Arial Narrow" w:hAnsi="Arial Narrow" w:cstheme="majorHAnsi"/>
                <w:sz w:val="20"/>
                <w:szCs w:val="20"/>
              </w:rPr>
              <w:t xml:space="preserve">. </w:t>
            </w: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International Finance Corporation.</w:t>
            </w:r>
          </w:p>
        </w:tc>
      </w:tr>
      <w:tr w:rsidR="00C5514A" w:rsidRPr="004E3029" w14:paraId="592E2D6D" w14:textId="77777777" w:rsidTr="00CC3D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DCEA43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De alcance (Scope Creep)</w:t>
            </w:r>
          </w:p>
        </w:tc>
        <w:tc>
          <w:tcPr>
            <w:tcW w:w="0" w:type="auto"/>
            <w:vAlign w:val="center"/>
            <w:hideMark/>
          </w:tcPr>
          <w:p w14:paraId="4713DAA4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Incremento no planificado del número de especies o áreas a manejar</w:t>
            </w:r>
          </w:p>
        </w:tc>
        <w:tc>
          <w:tcPr>
            <w:tcW w:w="0" w:type="auto"/>
            <w:vAlign w:val="center"/>
            <w:hideMark/>
          </w:tcPr>
          <w:p w14:paraId="5FB7984C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Expansión sin capacidad técnica o financiera suficiente</w:t>
            </w:r>
          </w:p>
        </w:tc>
        <w:tc>
          <w:tcPr>
            <w:tcW w:w="0" w:type="auto"/>
            <w:vAlign w:val="center"/>
            <w:hideMark/>
          </w:tcPr>
          <w:p w14:paraId="215A89D5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Definir alcance en el Plan de Manejo; aplicar evaluaciones piloto antes de ampliar; control de costos y tiempos</w:t>
            </w:r>
          </w:p>
        </w:tc>
        <w:tc>
          <w:tcPr>
            <w:tcW w:w="0" w:type="auto"/>
            <w:vAlign w:val="center"/>
            <w:hideMark/>
          </w:tcPr>
          <w:p w14:paraId="29666B46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</w:rPr>
              <w:t xml:space="preserve">IFC. (2012). </w:t>
            </w:r>
            <w:r w:rsidRPr="004E3029">
              <w:rPr>
                <w:rFonts w:ascii="Arial Narrow" w:hAnsi="Arial Narrow" w:cstheme="majorHAnsi"/>
                <w:i/>
                <w:iCs/>
                <w:sz w:val="20"/>
                <w:szCs w:val="20"/>
              </w:rPr>
              <w:t>Performance Standard 1: Assessment and Management of Environmental and Social Risks and Impacts</w:t>
            </w:r>
            <w:r w:rsidRPr="004E3029">
              <w:rPr>
                <w:rFonts w:ascii="Arial Narrow" w:hAnsi="Arial Narrow" w:cstheme="majorHAnsi"/>
                <w:sz w:val="20"/>
                <w:szCs w:val="20"/>
              </w:rPr>
              <w:t xml:space="preserve">. </w:t>
            </w: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International Finance Corporation.</w:t>
            </w:r>
          </w:p>
        </w:tc>
      </w:tr>
      <w:tr w:rsidR="00C5514A" w:rsidRPr="004E3029" w14:paraId="0A58D78D" w14:textId="77777777" w:rsidTr="00CC3DB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344AF3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De cronograma / tiempo</w:t>
            </w:r>
          </w:p>
        </w:tc>
        <w:tc>
          <w:tcPr>
            <w:tcW w:w="0" w:type="auto"/>
            <w:vAlign w:val="center"/>
            <w:hideMark/>
          </w:tcPr>
          <w:p w14:paraId="202C3B06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b/>
                <w:bCs/>
                <w:sz w:val="20"/>
                <w:szCs w:val="20"/>
                <w:lang w:val="es-CO"/>
              </w:rPr>
              <w:t>Retrasos por trámites ambientales o demoras en permisos</w:t>
            </w:r>
          </w:p>
        </w:tc>
        <w:tc>
          <w:tcPr>
            <w:tcW w:w="0" w:type="auto"/>
            <w:vAlign w:val="center"/>
            <w:hideMark/>
          </w:tcPr>
          <w:p w14:paraId="5BE11AA3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Procesos lentos de aprobación o inconsistencias documentales</w:t>
            </w:r>
          </w:p>
        </w:tc>
        <w:tc>
          <w:tcPr>
            <w:tcW w:w="0" w:type="auto"/>
            <w:vAlign w:val="center"/>
            <w:hideMark/>
          </w:tcPr>
          <w:p w14:paraId="65C7C7AA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Planificación temprana; acompañamiento institucional; coordinación con autoridad ambiental</w:t>
            </w:r>
          </w:p>
        </w:tc>
        <w:tc>
          <w:tcPr>
            <w:tcW w:w="0" w:type="auto"/>
            <w:vAlign w:val="center"/>
            <w:hideMark/>
          </w:tcPr>
          <w:p w14:paraId="3C43A68A" w14:textId="77777777" w:rsidR="00C5514A" w:rsidRPr="004E3029" w:rsidRDefault="00C5514A" w:rsidP="00C5514A">
            <w:pPr>
              <w:spacing w:after="0" w:line="240" w:lineRule="auto"/>
              <w:rPr>
                <w:rFonts w:ascii="Arial Narrow" w:hAnsi="Arial Narrow" w:cstheme="majorHAnsi"/>
                <w:sz w:val="20"/>
                <w:szCs w:val="20"/>
                <w:lang w:val="es-CO"/>
              </w:rPr>
            </w:pP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 xml:space="preserve">Ministerio de Ambiente y Desarrollo Sostenible. (2022). </w:t>
            </w:r>
            <w:r w:rsidRPr="004E3029">
              <w:rPr>
                <w:rFonts w:ascii="Arial Narrow" w:hAnsi="Arial Narrow" w:cstheme="majorHAnsi"/>
                <w:i/>
                <w:iCs/>
                <w:sz w:val="20"/>
                <w:szCs w:val="20"/>
                <w:lang w:val="es-CO"/>
              </w:rPr>
              <w:t>Productos forestales no maderables en Colombia: consideraciones para su desarrollo</w:t>
            </w:r>
            <w:r w:rsidRPr="004E3029">
              <w:rPr>
                <w:rFonts w:ascii="Arial Narrow" w:hAnsi="Arial Narrow" w:cstheme="majorHAnsi"/>
                <w:sz w:val="20"/>
                <w:szCs w:val="20"/>
                <w:lang w:val="es-CO"/>
              </w:rPr>
              <w:t>. MinAmbiente.</w:t>
            </w:r>
          </w:p>
        </w:tc>
      </w:tr>
    </w:tbl>
    <w:p w14:paraId="5A426F47" w14:textId="77777777" w:rsidR="004E3029" w:rsidRPr="00EE03A5" w:rsidRDefault="004E3029" w:rsidP="00EE03A5">
      <w:pPr>
        <w:rPr>
          <w:rFonts w:asciiTheme="majorHAnsi" w:hAnsiTheme="majorHAnsi" w:cstheme="majorHAnsi"/>
          <w:lang w:val="es-CO"/>
        </w:rPr>
      </w:pPr>
    </w:p>
    <w:p w14:paraId="662D87C2" w14:textId="2E012274" w:rsidR="00F20539" w:rsidRPr="00EE03A5" w:rsidRDefault="00076251" w:rsidP="00EE03A5">
      <w:pPr>
        <w:pStyle w:val="Ttulo1"/>
        <w:rPr>
          <w:rFonts w:cstheme="majorHAnsi"/>
          <w:sz w:val="22"/>
          <w:szCs w:val="22"/>
        </w:rPr>
      </w:pPr>
      <w:r w:rsidRPr="00EE03A5">
        <w:rPr>
          <w:rFonts w:cstheme="majorHAnsi"/>
          <w:sz w:val="22"/>
          <w:szCs w:val="22"/>
        </w:rPr>
        <w:t>Referencias</w:t>
      </w:r>
    </w:p>
    <w:p w14:paraId="7BBE0626" w14:textId="77777777" w:rsidR="00F20539" w:rsidRPr="00EE03A5" w:rsidRDefault="00076251" w:rsidP="00EE03A5">
      <w:pPr>
        <w:pStyle w:val="Listaconvietas"/>
        <w:rPr>
          <w:rFonts w:asciiTheme="majorHAnsi" w:hAnsiTheme="majorHAnsi" w:cstheme="majorHAnsi"/>
        </w:rPr>
      </w:pPr>
      <w:r w:rsidRPr="00EE03A5">
        <w:rPr>
          <w:rFonts w:asciiTheme="majorHAnsi" w:hAnsiTheme="majorHAnsi" w:cstheme="majorHAnsi"/>
          <w:lang w:val="es-CO"/>
        </w:rPr>
        <w:t xml:space="preserve">Asana. (s. f.). *Cómo realizar un análisis de riesgos y ejemplos*. </w:t>
      </w:r>
      <w:r w:rsidRPr="00EE03A5">
        <w:rPr>
          <w:rFonts w:asciiTheme="majorHAnsi" w:hAnsiTheme="majorHAnsi" w:cstheme="majorHAnsi"/>
        </w:rPr>
        <w:t>Asana. Recuperado de https://asana.com/es/resources/project-risks</w:t>
      </w:r>
    </w:p>
    <w:p w14:paraId="43FED67E" w14:textId="77777777" w:rsidR="00F20539" w:rsidRPr="00EE03A5" w:rsidRDefault="00076251" w:rsidP="00EE03A5">
      <w:pPr>
        <w:pStyle w:val="Listaconvietas"/>
        <w:rPr>
          <w:rFonts w:asciiTheme="majorHAnsi" w:hAnsiTheme="majorHAnsi" w:cstheme="majorHAnsi"/>
          <w:lang w:val="es-CO"/>
        </w:rPr>
      </w:pPr>
      <w:r w:rsidRPr="00EE03A5">
        <w:rPr>
          <w:rFonts w:asciiTheme="majorHAnsi" w:hAnsiTheme="majorHAnsi" w:cstheme="majorHAnsi"/>
          <w:lang w:val="es-CO"/>
        </w:rPr>
        <w:t>Atlassian. (s. f.). *Gestión de riesgos en proyectos*. Atlassian. Recuperado de https://www.atlassian.com/work-management/project-management/project-risk-management</w:t>
      </w:r>
    </w:p>
    <w:p w14:paraId="22776ED3" w14:textId="77777777" w:rsidR="00F20539" w:rsidRPr="00EE03A5" w:rsidRDefault="00076251" w:rsidP="00EE03A5">
      <w:pPr>
        <w:pStyle w:val="Listaconvietas"/>
        <w:rPr>
          <w:rFonts w:asciiTheme="majorHAnsi" w:hAnsiTheme="majorHAnsi" w:cstheme="majorHAnsi"/>
          <w:lang w:val="es-CO"/>
        </w:rPr>
      </w:pPr>
      <w:r w:rsidRPr="00EE03A5">
        <w:rPr>
          <w:rFonts w:asciiTheme="majorHAnsi" w:hAnsiTheme="majorHAnsi" w:cstheme="majorHAnsi"/>
          <w:lang w:val="es-CO"/>
        </w:rPr>
        <w:t>Coursera. (2023). *Cómo gestionar el riesgo en proyectos*. Coursera. Recuperado de https://www.coursera.org/articles/how-to-manage-project-risk</w:t>
      </w:r>
    </w:p>
    <w:p w14:paraId="5AE36054" w14:textId="77777777" w:rsidR="00F20539" w:rsidRPr="00EE03A5" w:rsidRDefault="00076251" w:rsidP="00EE03A5">
      <w:pPr>
        <w:pStyle w:val="Listaconvietas"/>
        <w:rPr>
          <w:rFonts w:asciiTheme="majorHAnsi" w:hAnsiTheme="majorHAnsi" w:cstheme="majorHAnsi"/>
          <w:lang w:val="es-CO"/>
        </w:rPr>
      </w:pPr>
      <w:r w:rsidRPr="00EE03A5">
        <w:rPr>
          <w:rFonts w:asciiTheme="majorHAnsi" w:hAnsiTheme="majorHAnsi" w:cstheme="majorHAnsi"/>
          <w:lang w:val="es-CO"/>
        </w:rPr>
        <w:t>Smartsheet. (s. f.). *Tipos de riesgo en proyectos*. Smartsheet. Recuperado de https://www.smartsheet.com/content/project-risk-types</w:t>
      </w:r>
    </w:p>
    <w:p w14:paraId="5FF361E3" w14:textId="77777777" w:rsidR="00F20539" w:rsidRPr="00EE03A5" w:rsidRDefault="00076251" w:rsidP="00EE03A5">
      <w:pPr>
        <w:pStyle w:val="Listaconvietas"/>
        <w:rPr>
          <w:rFonts w:asciiTheme="majorHAnsi" w:hAnsiTheme="majorHAnsi" w:cstheme="majorHAnsi"/>
        </w:rPr>
      </w:pPr>
      <w:r w:rsidRPr="00EE03A5">
        <w:rPr>
          <w:rFonts w:asciiTheme="majorHAnsi" w:hAnsiTheme="majorHAnsi" w:cstheme="majorHAnsi"/>
        </w:rPr>
        <w:t>The Business Professor. (s. f.). *Project Risk Explained*. Recuperado de https://thebusinessprofessor.com/</w:t>
      </w:r>
    </w:p>
    <w:p w14:paraId="16FF2679" w14:textId="7384DB3F" w:rsidR="00F20539" w:rsidRPr="00EE03A5" w:rsidRDefault="00076251" w:rsidP="00EE03A5">
      <w:pPr>
        <w:pStyle w:val="Listaconvietas"/>
        <w:rPr>
          <w:rFonts w:asciiTheme="majorHAnsi" w:hAnsiTheme="majorHAnsi" w:cstheme="majorHAnsi"/>
          <w:lang w:val="es-CO"/>
        </w:rPr>
      </w:pPr>
      <w:r w:rsidRPr="00EE03A5">
        <w:rPr>
          <w:rFonts w:asciiTheme="majorHAnsi" w:hAnsiTheme="majorHAnsi" w:cstheme="majorHAnsi"/>
        </w:rPr>
        <w:t xml:space="preserve">Indeed. (2024). *Project Risks: Definition and Examples*. </w:t>
      </w:r>
      <w:r w:rsidRPr="00EE03A5">
        <w:rPr>
          <w:rFonts w:asciiTheme="majorHAnsi" w:hAnsiTheme="majorHAnsi" w:cstheme="majorHAnsi"/>
          <w:lang w:val="es-CO"/>
        </w:rPr>
        <w:t xml:space="preserve">Recuperado de </w:t>
      </w:r>
      <w:hyperlink r:id="rId6" w:history="1">
        <w:r w:rsidR="00281ECF" w:rsidRPr="00EE03A5">
          <w:rPr>
            <w:rStyle w:val="Hipervnculo"/>
            <w:rFonts w:asciiTheme="majorHAnsi" w:hAnsiTheme="majorHAnsi" w:cstheme="majorHAnsi"/>
            <w:lang w:val="es-CO"/>
          </w:rPr>
          <w:t>https://www.indeed.com/career-advice/career-development/project-risks</w:t>
        </w:r>
      </w:hyperlink>
    </w:p>
    <w:p w14:paraId="473A6322" w14:textId="77777777" w:rsidR="00281ECF" w:rsidRPr="00EE03A5" w:rsidRDefault="00281ECF" w:rsidP="00EE03A5">
      <w:pPr>
        <w:pStyle w:val="Listaconvietas"/>
        <w:numPr>
          <w:ilvl w:val="0"/>
          <w:numId w:val="0"/>
        </w:numPr>
        <w:ind w:left="360" w:hanging="360"/>
        <w:rPr>
          <w:rFonts w:asciiTheme="majorHAnsi" w:hAnsiTheme="majorHAnsi" w:cstheme="majorHAnsi"/>
          <w:lang w:val="es-CO"/>
        </w:rPr>
      </w:pPr>
    </w:p>
    <w:p w14:paraId="7532E1B8" w14:textId="449B9A3E" w:rsidR="00281ECF" w:rsidRDefault="00281ECF" w:rsidP="00076251">
      <w:pPr>
        <w:pStyle w:val="Listaconvietas"/>
        <w:numPr>
          <w:ilvl w:val="0"/>
          <w:numId w:val="0"/>
        </w:numPr>
        <w:rPr>
          <w:rFonts w:asciiTheme="majorHAnsi" w:hAnsiTheme="majorHAnsi" w:cstheme="majorHAnsi"/>
          <w:lang w:val="es-CO"/>
        </w:rPr>
      </w:pPr>
      <w:r w:rsidRPr="00EE03A5">
        <w:rPr>
          <w:rFonts w:asciiTheme="majorHAnsi" w:hAnsiTheme="majorHAnsi" w:cstheme="majorHAnsi"/>
          <w:lang w:val="es-CO"/>
        </w:rPr>
        <w:t>Documento elaborado con apoyo de ChatGPT (OpenAI, 2025) a partir de fuentes bibliográficas verificadas.</w:t>
      </w:r>
    </w:p>
    <w:p w14:paraId="45BE3531" w14:textId="0784ED1B" w:rsidR="00506F86" w:rsidRDefault="00506F86" w:rsidP="00281ECF">
      <w:pPr>
        <w:pStyle w:val="Listaconvietas"/>
        <w:numPr>
          <w:ilvl w:val="0"/>
          <w:numId w:val="0"/>
        </w:numPr>
        <w:ind w:left="360" w:hanging="360"/>
        <w:rPr>
          <w:rFonts w:asciiTheme="majorHAnsi" w:hAnsiTheme="majorHAnsi" w:cstheme="majorHAnsi"/>
          <w:lang w:val="es-CO"/>
        </w:rPr>
      </w:pPr>
    </w:p>
    <w:p w14:paraId="0DDCCA17" w14:textId="77777777" w:rsidR="002C7527" w:rsidRDefault="002C7527" w:rsidP="00281ECF">
      <w:pPr>
        <w:pStyle w:val="Listaconvietas"/>
        <w:numPr>
          <w:ilvl w:val="0"/>
          <w:numId w:val="0"/>
        </w:numPr>
        <w:ind w:left="360" w:hanging="360"/>
        <w:rPr>
          <w:rFonts w:asciiTheme="majorHAnsi" w:hAnsiTheme="majorHAnsi" w:cstheme="majorHAnsi"/>
          <w:lang w:val="es-CO"/>
        </w:rPr>
      </w:pPr>
    </w:p>
    <w:sectPr w:rsidR="002C752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49334921">
    <w:abstractNumId w:val="8"/>
  </w:num>
  <w:num w:numId="2" w16cid:durableId="1253469616">
    <w:abstractNumId w:val="6"/>
  </w:num>
  <w:num w:numId="3" w16cid:durableId="2119329348">
    <w:abstractNumId w:val="5"/>
  </w:num>
  <w:num w:numId="4" w16cid:durableId="230430296">
    <w:abstractNumId w:val="4"/>
  </w:num>
  <w:num w:numId="5" w16cid:durableId="576476533">
    <w:abstractNumId w:val="7"/>
  </w:num>
  <w:num w:numId="6" w16cid:durableId="561672139">
    <w:abstractNumId w:val="3"/>
  </w:num>
  <w:num w:numId="7" w16cid:durableId="1282418547">
    <w:abstractNumId w:val="2"/>
  </w:num>
  <w:num w:numId="8" w16cid:durableId="1773548835">
    <w:abstractNumId w:val="1"/>
  </w:num>
  <w:num w:numId="9" w16cid:durableId="42366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6251"/>
    <w:rsid w:val="0015074B"/>
    <w:rsid w:val="00281ECF"/>
    <w:rsid w:val="0029639D"/>
    <w:rsid w:val="002C7527"/>
    <w:rsid w:val="00326F90"/>
    <w:rsid w:val="004E3029"/>
    <w:rsid w:val="00506F86"/>
    <w:rsid w:val="0059373F"/>
    <w:rsid w:val="005C64ED"/>
    <w:rsid w:val="00AA1D8D"/>
    <w:rsid w:val="00B47730"/>
    <w:rsid w:val="00C5514A"/>
    <w:rsid w:val="00CB0664"/>
    <w:rsid w:val="00CC3DB2"/>
    <w:rsid w:val="00D423EB"/>
    <w:rsid w:val="00E7743E"/>
    <w:rsid w:val="00EE03A5"/>
    <w:rsid w:val="00F2053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F3555C"/>
  <w14:defaultImageDpi w14:val="300"/>
  <w15:docId w15:val="{51CDED28-5EE9-4DED-AF7E-25333294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281EC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81E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deed.com/career-advice/career-development/project-risk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1372</Words>
  <Characters>7547</Characters>
  <Application>Microsoft Office Word</Application>
  <DocSecurity>0</DocSecurity>
  <Lines>62</Lines>
  <Paragraphs>17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Títulos</vt:lpstr>
      </vt:variant>
      <vt:variant>
        <vt:i4>11</vt:i4>
      </vt:variant>
      <vt:variant>
        <vt:lpstr>Title</vt:lpstr>
      </vt:variant>
      <vt:variant>
        <vt:i4>1</vt:i4>
      </vt:variant>
    </vt:vector>
  </HeadingPairs>
  <TitlesOfParts>
    <vt:vector size="13" baseType="lpstr">
      <vt:lpstr/>
      <vt:lpstr>1. ¿Qué es un riesgo en un proyecto?</vt:lpstr>
      <vt:lpstr>2. Tipos de riesgos en proyectos</vt:lpstr>
      <vt:lpstr>3. Cómo realizar un análisis de riesgos</vt:lpstr>
      <vt:lpstr>4. Acciones para el manejo y seguimiento de riesgos</vt:lpstr>
      <vt:lpstr>5. Ejemplo de formato comunitario para identificación de riesgos</vt:lpstr>
      <vt:lpstr/>
      <vt:lpstr/>
      <vt:lpstr/>
      <vt:lpstr/>
      <vt:lpstr/>
      <vt:lpstr>Referencias</vt:lpstr>
      <vt:lpstr/>
    </vt:vector>
  </TitlesOfParts>
  <Manager/>
  <Company/>
  <LinksUpToDate>false</LinksUpToDate>
  <CharactersWithSpaces>8902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Luisa Fernanda Lopez Osorio</cp:lastModifiedBy>
  <cp:revision>5</cp:revision>
  <dcterms:created xsi:type="dcterms:W3CDTF">2025-10-09T17:57:00Z</dcterms:created>
  <dcterms:modified xsi:type="dcterms:W3CDTF">2025-10-18T01:09:00Z</dcterms:modified>
  <cp:category/>
</cp:coreProperties>
</file>